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C396F" w14:textId="77777777" w:rsidR="00D752CD" w:rsidRPr="00D752CD" w:rsidRDefault="00D752CD" w:rsidP="00D752CD">
      <w:pPr>
        <w:jc w:val="both"/>
        <w:rPr>
          <w:rFonts w:ascii="Times New Roman" w:hAnsi="Times New Roman" w:cs="Times New Roman"/>
          <w:b/>
          <w:bCs/>
          <w:sz w:val="28"/>
          <w:szCs w:val="28"/>
        </w:rPr>
      </w:pPr>
      <w:r w:rsidRPr="00D752CD">
        <w:rPr>
          <w:rFonts w:ascii="Times New Roman" w:hAnsi="Times New Roman" w:cs="Times New Roman"/>
          <w:b/>
          <w:bCs/>
          <w:sz w:val="28"/>
          <w:szCs w:val="28"/>
        </w:rPr>
        <w:t>Dodatak za nastavnike:</w:t>
      </w:r>
    </w:p>
    <w:p w14:paraId="5B33F8D1" w14:textId="77777777" w:rsidR="00D752CD" w:rsidRDefault="00D752CD" w:rsidP="00D752CD">
      <w:pPr>
        <w:jc w:val="both"/>
        <w:rPr>
          <w:rFonts w:ascii="Times New Roman" w:hAnsi="Times New Roman" w:cs="Times New Roman"/>
          <w:b/>
          <w:bCs/>
        </w:rPr>
      </w:pPr>
      <w:r>
        <w:rPr>
          <w:rFonts w:ascii="Times New Roman" w:hAnsi="Times New Roman" w:cs="Times New Roman"/>
          <w:b/>
          <w:bCs/>
        </w:rPr>
        <w:t>Građa Sunca</w:t>
      </w:r>
    </w:p>
    <w:p w14:paraId="73DD622C" w14:textId="77777777" w:rsidR="00D752CD" w:rsidRPr="004A7ABC" w:rsidRDefault="00D752CD" w:rsidP="00D752CD">
      <w:pPr>
        <w:jc w:val="both"/>
        <w:rPr>
          <w:rFonts w:ascii="Times New Roman" w:hAnsi="Times New Roman" w:cs="Times New Roman"/>
        </w:rPr>
      </w:pPr>
      <w:r w:rsidRPr="004A7ABC">
        <w:rPr>
          <w:rFonts w:ascii="Times New Roman" w:hAnsi="Times New Roman" w:cs="Times New Roman"/>
        </w:rPr>
        <w:t xml:space="preserve">Prijenos topline odvija se iz jezgre Sunca, kroz radijacijsku zonu (sloj), a zatim miješanjem plinova u </w:t>
      </w:r>
      <w:proofErr w:type="spellStart"/>
      <w:r w:rsidRPr="004A7ABC">
        <w:rPr>
          <w:rFonts w:ascii="Times New Roman" w:hAnsi="Times New Roman" w:cs="Times New Roman"/>
        </w:rPr>
        <w:t>konvekcijskoj</w:t>
      </w:r>
      <w:proofErr w:type="spellEnd"/>
      <w:r w:rsidRPr="004A7ABC">
        <w:rPr>
          <w:rFonts w:ascii="Times New Roman" w:hAnsi="Times New Roman" w:cs="Times New Roman"/>
        </w:rPr>
        <w:t xml:space="preserve"> zoni da bi na površini u sloju fotosfere bile vidljive nastale konvekcijske ćelije -</w:t>
      </w:r>
      <w:r>
        <w:rPr>
          <w:rFonts w:ascii="Times New Roman" w:hAnsi="Times New Roman" w:cs="Times New Roman"/>
        </w:rPr>
        <w:t xml:space="preserve"> </w:t>
      </w:r>
      <w:r w:rsidRPr="004A7ABC">
        <w:rPr>
          <w:rFonts w:ascii="Times New Roman" w:hAnsi="Times New Roman" w:cs="Times New Roman"/>
        </w:rPr>
        <w:t>granule.</w:t>
      </w:r>
      <w:r>
        <w:rPr>
          <w:rFonts w:ascii="Times New Roman" w:hAnsi="Times New Roman" w:cs="Times New Roman"/>
        </w:rPr>
        <w:t xml:space="preserve"> </w:t>
      </w:r>
    </w:p>
    <w:p w14:paraId="0F0C375C" w14:textId="77777777" w:rsidR="00D752CD" w:rsidRDefault="00D752CD" w:rsidP="00D752CD">
      <w:pPr>
        <w:jc w:val="both"/>
        <w:rPr>
          <w:rFonts w:ascii="Times New Roman" w:hAnsi="Times New Roman" w:cs="Times New Roman"/>
          <w:b/>
          <w:bCs/>
        </w:rPr>
      </w:pPr>
    </w:p>
    <w:p w14:paraId="62B4842F" w14:textId="77777777" w:rsidR="00D752CD" w:rsidRDefault="00D752CD" w:rsidP="00D752CD">
      <w:pPr>
        <w:jc w:val="center"/>
        <w:rPr>
          <w:rFonts w:ascii="Times New Roman" w:hAnsi="Times New Roman" w:cs="Times New Roman"/>
          <w:b/>
          <w:bCs/>
        </w:rPr>
      </w:pPr>
      <w:r w:rsidRPr="009361A5">
        <w:rPr>
          <w:rFonts w:ascii="Times New Roman" w:hAnsi="Times New Roman" w:cs="Times New Roman"/>
          <w:b/>
          <w:bCs/>
        </w:rPr>
        <w:drawing>
          <wp:inline distT="0" distB="0" distL="0" distR="0" wp14:anchorId="6BBE5D20" wp14:editId="0107792F">
            <wp:extent cx="3313839" cy="2584450"/>
            <wp:effectExtent l="0" t="0" r="1270" b="6350"/>
            <wp:docPr id="1494189904" name="Slika 1" descr="Slika na kojoj se prikazuje snimka zaslona, Astronomski objekt, kugla, planeta&#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89904" name="Slika 1" descr="Slika na kojoj se prikazuje snimka zaslona, Astronomski objekt, kugla, planeta&#10;&#10;Sadržaj generiran umjetnom inteligencijom može biti netočan."/>
                    <pic:cNvPicPr/>
                  </pic:nvPicPr>
                  <pic:blipFill>
                    <a:blip r:embed="rId4">
                      <a:extLst>
                        <a:ext uri="{BEBA8EAE-BF5A-486C-A8C5-ECC9F3942E4B}">
                          <a14:imgProps xmlns:a14="http://schemas.microsoft.com/office/drawing/2010/main">
                            <a14:imgLayer r:embed="rId5">
                              <a14:imgEffect>
                                <a14:artisticTexturizer/>
                              </a14:imgEffect>
                            </a14:imgLayer>
                          </a14:imgProps>
                        </a:ext>
                      </a:extLst>
                    </a:blip>
                    <a:stretch>
                      <a:fillRect/>
                    </a:stretch>
                  </pic:blipFill>
                  <pic:spPr>
                    <a:xfrm>
                      <a:off x="0" y="0"/>
                      <a:ext cx="3317846" cy="2587575"/>
                    </a:xfrm>
                    <a:prstGeom prst="rect">
                      <a:avLst/>
                    </a:prstGeom>
                  </pic:spPr>
                </pic:pic>
              </a:graphicData>
            </a:graphic>
          </wp:inline>
        </w:drawing>
      </w:r>
    </w:p>
    <w:p w14:paraId="29C15488" w14:textId="18220D1E" w:rsidR="00D752CD" w:rsidRPr="00D752CD" w:rsidRDefault="00D752CD" w:rsidP="00D752CD">
      <w:pPr>
        <w:jc w:val="both"/>
        <w:rPr>
          <w:rFonts w:ascii="Times New Roman" w:hAnsi="Times New Roman" w:cs="Times New Roman"/>
        </w:rPr>
      </w:pPr>
      <w:r w:rsidRPr="00D752CD">
        <w:rPr>
          <w:rFonts w:ascii="Times New Roman" w:hAnsi="Times New Roman" w:cs="Times New Roman"/>
        </w:rPr>
        <w:t xml:space="preserve">Zanimljive informacije pronađite na: </w:t>
      </w:r>
      <w:hyperlink r:id="rId6" w:history="1">
        <w:r w:rsidRPr="00761BE5">
          <w:rPr>
            <w:rStyle w:val="Hiperveza"/>
            <w:rFonts w:ascii="Times New Roman" w:hAnsi="Times New Roman" w:cs="Times New Roman"/>
          </w:rPr>
          <w:t>https://www.esa.int/Science_Exploration/Space_Science/The_Sun</w:t>
        </w:r>
      </w:hyperlink>
      <w:r>
        <w:rPr>
          <w:rFonts w:ascii="Times New Roman" w:hAnsi="Times New Roman" w:cs="Times New Roman"/>
        </w:rPr>
        <w:t xml:space="preserve"> </w:t>
      </w:r>
    </w:p>
    <w:p w14:paraId="7664A31B" w14:textId="77777777" w:rsidR="00D752CD" w:rsidRDefault="00D752CD" w:rsidP="00D752CD">
      <w:pPr>
        <w:jc w:val="both"/>
        <w:rPr>
          <w:rFonts w:ascii="Times New Roman" w:hAnsi="Times New Roman" w:cs="Times New Roman"/>
          <w:b/>
          <w:bCs/>
        </w:rPr>
      </w:pPr>
    </w:p>
    <w:p w14:paraId="78D4A458" w14:textId="729FC565" w:rsidR="00D752CD" w:rsidRPr="00547EB4" w:rsidRDefault="00D752CD" w:rsidP="00D752CD">
      <w:pPr>
        <w:jc w:val="both"/>
        <w:rPr>
          <w:rFonts w:ascii="Times New Roman" w:hAnsi="Times New Roman" w:cs="Times New Roman"/>
          <w:b/>
          <w:bCs/>
        </w:rPr>
      </w:pPr>
      <w:r w:rsidRPr="00547EB4">
        <w:rPr>
          <w:rFonts w:ascii="Times New Roman" w:hAnsi="Times New Roman" w:cs="Times New Roman"/>
          <w:b/>
          <w:bCs/>
        </w:rPr>
        <w:t>Rayleigh</w:t>
      </w:r>
      <w:r>
        <w:rPr>
          <w:rFonts w:ascii="Times New Roman" w:hAnsi="Times New Roman" w:cs="Times New Roman"/>
          <w:b/>
          <w:bCs/>
        </w:rPr>
        <w:t>-</w:t>
      </w:r>
      <w:r w:rsidRPr="00547EB4">
        <w:rPr>
          <w:rFonts w:ascii="Times New Roman" w:hAnsi="Times New Roman" w:cs="Times New Roman"/>
          <w:b/>
          <w:bCs/>
        </w:rPr>
        <w:t>Bénard konvekcija</w:t>
      </w:r>
    </w:p>
    <w:p w14:paraId="10B1B3FD" w14:textId="77777777" w:rsidR="00D752CD" w:rsidRPr="00547EB4" w:rsidRDefault="00D752CD" w:rsidP="00D752CD">
      <w:pPr>
        <w:spacing w:line="276" w:lineRule="auto"/>
        <w:jc w:val="both"/>
        <w:rPr>
          <w:rFonts w:ascii="Times New Roman" w:eastAsia="Aptos" w:hAnsi="Times New Roman" w:cs="Times New Roman"/>
        </w:rPr>
      </w:pPr>
      <w:r w:rsidRPr="002C58AA">
        <w:rPr>
          <w:rFonts w:ascii="Times New Roman" w:eastAsia="Aptos" w:hAnsi="Times New Roman" w:cs="Times New Roman"/>
        </w:rPr>
        <w:t>Prijenos topline je prelazak topline s toplijeg na hladnije tijelo. Razlikuju se tri glavna mehanizma prijenosa toplin</w:t>
      </w:r>
      <w:r w:rsidRPr="00547EB4">
        <w:rPr>
          <w:rFonts w:ascii="Times New Roman" w:eastAsia="Aptos" w:hAnsi="Times New Roman" w:cs="Times New Roman"/>
        </w:rPr>
        <w:t>e</w:t>
      </w:r>
      <w:r w:rsidRPr="002C58AA">
        <w:rPr>
          <w:rFonts w:ascii="Times New Roman" w:eastAsia="Aptos" w:hAnsi="Times New Roman" w:cs="Times New Roman"/>
        </w:rPr>
        <w:t xml:space="preserve">: kondukcija, konvekcija i radijacija. Konvekcija ili toplinsko strujanje </w:t>
      </w:r>
      <w:r w:rsidRPr="00547EB4">
        <w:rPr>
          <w:rFonts w:ascii="Times New Roman" w:eastAsia="Aptos" w:hAnsi="Times New Roman" w:cs="Times New Roman"/>
        </w:rPr>
        <w:t xml:space="preserve">(slika 1) </w:t>
      </w:r>
      <w:r w:rsidRPr="002C58AA">
        <w:rPr>
          <w:rFonts w:ascii="Times New Roman" w:eastAsia="Aptos" w:hAnsi="Times New Roman" w:cs="Times New Roman"/>
        </w:rPr>
        <w:t xml:space="preserve">je prijenos topline u tvarima koje mogu strujati odnosno u fluidima (tekućine i plinovi). </w:t>
      </w:r>
    </w:p>
    <w:p w14:paraId="0C52B9AB" w14:textId="77777777" w:rsidR="00D752CD" w:rsidRPr="00547EB4" w:rsidRDefault="00D752CD" w:rsidP="00D752CD">
      <w:pPr>
        <w:spacing w:line="276" w:lineRule="auto"/>
        <w:jc w:val="both"/>
        <w:rPr>
          <w:rFonts w:ascii="Times New Roman" w:eastAsia="Aptos" w:hAnsi="Times New Roman" w:cs="Times New Roman"/>
        </w:rPr>
      </w:pPr>
    </w:p>
    <w:p w14:paraId="5CA996E8" w14:textId="77777777" w:rsidR="00D752CD" w:rsidRPr="00547EB4" w:rsidRDefault="00D752CD" w:rsidP="00D752CD">
      <w:pPr>
        <w:spacing w:line="276" w:lineRule="auto"/>
        <w:jc w:val="center"/>
        <w:rPr>
          <w:rFonts w:ascii="Times New Roman" w:hAnsi="Times New Roman" w:cs="Times New Roman"/>
          <w:noProof/>
        </w:rPr>
      </w:pPr>
      <w:r w:rsidRPr="00547EB4">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6C0AA90" wp14:editId="785C0969">
                <wp:simplePos x="0" y="0"/>
                <wp:positionH relativeFrom="column">
                  <wp:posOffset>1384300</wp:posOffset>
                </wp:positionH>
                <wp:positionV relativeFrom="paragraph">
                  <wp:posOffset>1357630</wp:posOffset>
                </wp:positionV>
                <wp:extent cx="2089150" cy="222250"/>
                <wp:effectExtent l="0" t="0" r="6350" b="6350"/>
                <wp:wrapNone/>
                <wp:docPr id="1241418501" name="Pravokutnik 1"/>
                <wp:cNvGraphicFramePr/>
                <a:graphic xmlns:a="http://schemas.openxmlformats.org/drawingml/2006/main">
                  <a:graphicData uri="http://schemas.microsoft.com/office/word/2010/wordprocessingShape">
                    <wps:wsp>
                      <wps:cNvSpPr/>
                      <wps:spPr>
                        <a:xfrm>
                          <a:off x="0" y="0"/>
                          <a:ext cx="2089150" cy="222250"/>
                        </a:xfrm>
                        <a:prstGeom prst="rect">
                          <a:avLst/>
                        </a:prstGeom>
                        <a:solidFill>
                          <a:sysClr val="window" lastClr="FFFFFF"/>
                        </a:solidFill>
                        <a:ln w="12700" cap="flat" cmpd="sng" algn="ctr">
                          <a:noFill/>
                          <a:prstDash val="solid"/>
                          <a:miter lim="800000"/>
                        </a:ln>
                        <a:effectLst/>
                      </wps:spPr>
                      <wps:txbx>
                        <w:txbxContent>
                          <w:p w14:paraId="2C317EDC" w14:textId="77777777" w:rsidR="00D752CD" w:rsidRDefault="00D752CD" w:rsidP="00D752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C0AA90" id="Pravokutnik 1" o:spid="_x0000_s1026" style="position:absolute;left:0;text-align:left;margin-left:109pt;margin-top:106.9pt;width:164.5pt;height: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" fillcolor="window" stroked="f" strokeweight="1pt">
                <v:textbox>
                  <w:txbxContent>
                    <w:p w14:paraId="2C317EDC" w14:textId="77777777" w:rsidR="00D752CD" w:rsidRDefault="00D752CD" w:rsidP="00D752CD">
                      <w:pPr>
                        <w:jc w:val="center"/>
                      </w:pPr>
                    </w:p>
                  </w:txbxContent>
                </v:textbox>
              </v:rect>
            </w:pict>
          </mc:Fallback>
        </mc:AlternateContent>
      </w:r>
      <w:r w:rsidRPr="00547EB4">
        <w:rPr>
          <w:rFonts w:ascii="Times New Roman" w:hAnsi="Times New Roman" w:cs="Times New Roman"/>
          <w:noProof/>
        </w:rPr>
        <w:t>&lt;</w:t>
      </w:r>
      <w:r w:rsidRPr="00547EB4">
        <w:rPr>
          <w:rFonts w:ascii="Times New Roman" w:hAnsi="Times New Roman" w:cs="Times New Roman"/>
          <w:noProof/>
        </w:rPr>
        <w:drawing>
          <wp:inline distT="0" distB="0" distL="0" distR="0" wp14:anchorId="7DE20833" wp14:editId="63618948">
            <wp:extent cx="3028950" cy="1540587"/>
            <wp:effectExtent l="0" t="0" r="0" b="254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6131" cy="1544239"/>
                    </a:xfrm>
                    <a:prstGeom prst="rect">
                      <a:avLst/>
                    </a:prstGeom>
                    <a:noFill/>
                    <a:ln>
                      <a:noFill/>
                    </a:ln>
                  </pic:spPr>
                </pic:pic>
              </a:graphicData>
            </a:graphic>
          </wp:inline>
        </w:drawing>
      </w:r>
    </w:p>
    <w:p w14:paraId="710F2E8D" w14:textId="77777777" w:rsidR="00D752CD" w:rsidRPr="00547EB4" w:rsidRDefault="00D752CD" w:rsidP="00D752CD">
      <w:pPr>
        <w:spacing w:line="276" w:lineRule="auto"/>
        <w:jc w:val="center"/>
        <w:rPr>
          <w:rFonts w:ascii="Times New Roman" w:eastAsia="Aptos" w:hAnsi="Times New Roman" w:cs="Times New Roman"/>
        </w:rPr>
      </w:pPr>
      <w:r w:rsidRPr="00547EB4">
        <w:rPr>
          <w:rFonts w:ascii="Times New Roman" w:hAnsi="Times New Roman" w:cs="Times New Roman"/>
          <w:noProof/>
        </w:rPr>
        <w:t>Slika 1. Konvekcijske struje</w:t>
      </w:r>
      <w:r w:rsidRPr="00EE5400">
        <w:rPr>
          <w:rFonts w:ascii="Times New Roman" w:hAnsi="Times New Roman" w:cs="Times New Roman"/>
          <w:noProof/>
          <w:vertAlign w:val="superscript"/>
        </w:rPr>
        <w:t>[</w:t>
      </w:r>
      <w:r>
        <w:rPr>
          <w:rFonts w:ascii="Times New Roman" w:hAnsi="Times New Roman" w:cs="Times New Roman"/>
          <w:noProof/>
          <w:vertAlign w:val="superscript"/>
        </w:rPr>
        <w:t>4</w:t>
      </w:r>
      <w:r w:rsidRPr="00EE5400">
        <w:rPr>
          <w:rFonts w:ascii="Times New Roman" w:hAnsi="Times New Roman" w:cs="Times New Roman"/>
          <w:noProof/>
          <w:vertAlign w:val="superscript"/>
        </w:rPr>
        <w:t>]</w:t>
      </w:r>
    </w:p>
    <w:p w14:paraId="6E79C31E" w14:textId="77777777" w:rsidR="00D752CD" w:rsidRDefault="00D752CD" w:rsidP="00D752CD">
      <w:pPr>
        <w:spacing w:line="276" w:lineRule="auto"/>
        <w:jc w:val="both"/>
        <w:rPr>
          <w:rFonts w:ascii="Times New Roman" w:eastAsia="Aptos" w:hAnsi="Times New Roman" w:cs="Times New Roman"/>
        </w:rPr>
      </w:pPr>
      <w:r w:rsidRPr="002C58AA">
        <w:rPr>
          <w:rFonts w:ascii="Times New Roman" w:eastAsia="Aptos" w:hAnsi="Times New Roman" w:cs="Times New Roman"/>
        </w:rPr>
        <w:t xml:space="preserve">Do konvekcije dolazi zbog promjene gustoće tvari uzrokovane zagrijavanjem. </w:t>
      </w:r>
      <w:r>
        <w:rPr>
          <w:rFonts w:ascii="Times New Roman" w:eastAsia="Aptos" w:hAnsi="Times New Roman" w:cs="Times New Roman"/>
        </w:rPr>
        <w:t>S gornje strane fluid se hladi, gustoća mu se povećava i struji prema dnu, dok se topliji rjeđi fluid uzdiže prema vrhu (slika 2).</w:t>
      </w:r>
    </w:p>
    <w:p w14:paraId="503F4551" w14:textId="77777777" w:rsidR="00D752CD" w:rsidRDefault="00D752CD" w:rsidP="00D752CD">
      <w:pPr>
        <w:spacing w:line="276" w:lineRule="auto"/>
        <w:jc w:val="center"/>
        <w:rPr>
          <w:rFonts w:ascii="Times New Roman" w:eastAsia="Aptos" w:hAnsi="Times New Roman" w:cs="Times New Roman"/>
        </w:rPr>
      </w:pPr>
      <w:r w:rsidRPr="00672CE7">
        <w:rPr>
          <w:rFonts w:ascii="Times New Roman" w:eastAsia="Aptos" w:hAnsi="Times New Roman" w:cs="Times New Roman"/>
        </w:rPr>
        <w:lastRenderedPageBreak/>
        <w:drawing>
          <wp:inline distT="0" distB="0" distL="0" distR="0" wp14:anchorId="2FDC79A1" wp14:editId="3832F399">
            <wp:extent cx="2324100" cy="1438729"/>
            <wp:effectExtent l="0" t="0" r="0" b="9525"/>
            <wp:docPr id="937189789" name="Slika 2" descr="13.4: Methods of Heat Transfer - Physics LibreTex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4: Methods of Heat Transfer - Physics LibreTex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1058" cy="1443036"/>
                    </a:xfrm>
                    <a:prstGeom prst="rect">
                      <a:avLst/>
                    </a:prstGeom>
                    <a:noFill/>
                    <a:ln>
                      <a:noFill/>
                    </a:ln>
                  </pic:spPr>
                </pic:pic>
              </a:graphicData>
            </a:graphic>
          </wp:inline>
        </w:drawing>
      </w:r>
    </w:p>
    <w:p w14:paraId="2653122A" w14:textId="77777777" w:rsidR="00D752CD" w:rsidRDefault="00D752CD" w:rsidP="00D752CD">
      <w:pPr>
        <w:spacing w:line="276" w:lineRule="auto"/>
        <w:jc w:val="center"/>
        <w:rPr>
          <w:rFonts w:ascii="Times New Roman" w:eastAsia="Aptos" w:hAnsi="Times New Roman" w:cs="Times New Roman"/>
        </w:rPr>
      </w:pPr>
      <w:r>
        <w:rPr>
          <w:rFonts w:ascii="Times New Roman" w:eastAsia="Aptos" w:hAnsi="Times New Roman" w:cs="Times New Roman"/>
        </w:rPr>
        <w:t>Slika 2. Konvekcija je učinkovitija ako je put strujanja toplog i hladnog fluida kraći</w:t>
      </w:r>
      <w:r w:rsidRPr="00EE5400">
        <w:rPr>
          <w:rFonts w:ascii="Times New Roman" w:eastAsia="Aptos" w:hAnsi="Times New Roman" w:cs="Times New Roman"/>
          <w:vertAlign w:val="superscript"/>
        </w:rPr>
        <w:t>[</w:t>
      </w:r>
      <w:r>
        <w:rPr>
          <w:rFonts w:ascii="Times New Roman" w:eastAsia="Aptos" w:hAnsi="Times New Roman" w:cs="Times New Roman"/>
          <w:vertAlign w:val="superscript"/>
        </w:rPr>
        <w:t>4</w:t>
      </w:r>
      <w:r w:rsidRPr="00EE5400">
        <w:rPr>
          <w:rFonts w:ascii="Times New Roman" w:eastAsia="Aptos" w:hAnsi="Times New Roman" w:cs="Times New Roman"/>
          <w:vertAlign w:val="superscript"/>
        </w:rPr>
        <w:t>]</w:t>
      </w:r>
    </w:p>
    <w:p w14:paraId="5BEC91A6" w14:textId="77777777" w:rsidR="00D752CD" w:rsidRDefault="00D752CD" w:rsidP="00D752CD">
      <w:pPr>
        <w:spacing w:line="276" w:lineRule="auto"/>
        <w:jc w:val="both"/>
        <w:rPr>
          <w:rFonts w:ascii="Times New Roman" w:eastAsia="Aptos" w:hAnsi="Times New Roman" w:cs="Times New Roman"/>
        </w:rPr>
      </w:pPr>
      <w:r w:rsidRPr="002C58AA">
        <w:rPr>
          <w:rFonts w:ascii="Times New Roman" w:eastAsia="Aptos" w:hAnsi="Times New Roman" w:cs="Times New Roman"/>
        </w:rPr>
        <w:t>Postoje različite vrste konvekcije fluida te je jedna od njih konvekcija Rayleigh-Bénard prepoznatljiva po pravilnom uzorku konvekcijskih stanica poznatima kao Bénardove stanice.</w:t>
      </w:r>
      <w:r w:rsidRPr="00547EB4">
        <w:rPr>
          <w:rFonts w:ascii="Times New Roman" w:eastAsia="Aptos" w:hAnsi="Times New Roman" w:cs="Times New Roman"/>
        </w:rPr>
        <w:t xml:space="preserve"> </w:t>
      </w:r>
      <w:r w:rsidRPr="00EE5400">
        <w:rPr>
          <w:rFonts w:ascii="Times New Roman" w:eastAsia="Aptos" w:hAnsi="Times New Roman" w:cs="Times New Roman"/>
        </w:rPr>
        <w:t>U obje vrsta konvekcija</w:t>
      </w:r>
      <w:r w:rsidRPr="00547EB4">
        <w:rPr>
          <w:rFonts w:ascii="Times New Roman" w:eastAsia="Aptos" w:hAnsi="Times New Roman" w:cs="Times New Roman"/>
        </w:rPr>
        <w:t>, bilo da se grije s donje ili gornje strane,</w:t>
      </w:r>
      <w:r w:rsidRPr="00EE5400">
        <w:rPr>
          <w:rFonts w:ascii="Times New Roman" w:eastAsia="Aptos" w:hAnsi="Times New Roman" w:cs="Times New Roman"/>
        </w:rPr>
        <w:t xml:space="preserve"> na gornjoj površini fluida nastaju uzorci koji nalikuju stanicama. U tankom sloju fluida manje konvekcijske strukture odnosno stanice učinkovitiji su način prijenosa topline u tankom sloju fluida. Male stanice pružaju kraći put za uspinjanje toplog i spuštanje hladnog fluida, što je stabilnije i povoljnije po pitanju energije. </w:t>
      </w:r>
    </w:p>
    <w:p w14:paraId="1D9C7695" w14:textId="77777777" w:rsidR="00D752CD" w:rsidRPr="00EE5400" w:rsidRDefault="00D752CD" w:rsidP="00D752CD">
      <w:pPr>
        <w:spacing w:line="276" w:lineRule="auto"/>
        <w:jc w:val="both"/>
        <w:rPr>
          <w:rFonts w:ascii="Times New Roman" w:eastAsia="Aptos" w:hAnsi="Times New Roman" w:cs="Times New Roman"/>
        </w:rPr>
      </w:pPr>
      <w:r w:rsidRPr="00EE5400">
        <w:rPr>
          <w:rFonts w:ascii="Times New Roman" w:eastAsia="Aptos" w:hAnsi="Times New Roman" w:cs="Times New Roman"/>
        </w:rPr>
        <w:t>Osim toga, vrtlozi</w:t>
      </w:r>
      <w:r w:rsidRPr="00EE5400">
        <w:rPr>
          <w:rFonts w:ascii="Times New Roman" w:eastAsia="Aptos" w:hAnsi="Times New Roman" w:cs="Times New Roman"/>
          <w:b/>
          <w:bCs/>
        </w:rPr>
        <w:t xml:space="preserve"> </w:t>
      </w:r>
      <w:r w:rsidRPr="00EE5400">
        <w:rPr>
          <w:rFonts w:ascii="Times New Roman" w:eastAsia="Aptos" w:hAnsi="Times New Roman" w:cs="Times New Roman"/>
        </w:rPr>
        <w:t>Bénardovih stanica se nalazi na minimalnom iznosu lokalne entropije, na granici s maksimalnim iznosom lokalne entropije</w:t>
      </w:r>
      <w:r w:rsidRPr="00EE5400">
        <w:rPr>
          <w:rFonts w:ascii="Times New Roman" w:eastAsia="Aptos" w:hAnsi="Times New Roman" w:cs="Times New Roman"/>
          <w:vertAlign w:val="superscript"/>
        </w:rPr>
        <w:t>[</w:t>
      </w:r>
      <w:r>
        <w:rPr>
          <w:rFonts w:ascii="Times New Roman" w:eastAsia="Aptos" w:hAnsi="Times New Roman" w:cs="Times New Roman"/>
          <w:vertAlign w:val="superscript"/>
        </w:rPr>
        <w:t>2</w:t>
      </w:r>
      <w:r w:rsidRPr="00EE5400">
        <w:rPr>
          <w:rFonts w:ascii="Times New Roman" w:eastAsia="Aptos" w:hAnsi="Times New Roman" w:cs="Times New Roman"/>
          <w:vertAlign w:val="superscript"/>
        </w:rPr>
        <w:t>]</w:t>
      </w:r>
      <w:r w:rsidRPr="00EE5400">
        <w:rPr>
          <w:rFonts w:ascii="Times New Roman" w:eastAsia="Aptos" w:hAnsi="Times New Roman" w:cs="Times New Roman"/>
        </w:rPr>
        <w:t xml:space="preserve"> što ponovno doprinos</w:t>
      </w:r>
      <w:r w:rsidRPr="00547EB4">
        <w:rPr>
          <w:rFonts w:ascii="Times New Roman" w:eastAsia="Aptos" w:hAnsi="Times New Roman" w:cs="Times New Roman"/>
        </w:rPr>
        <w:t>i</w:t>
      </w:r>
      <w:r w:rsidRPr="00EE5400">
        <w:rPr>
          <w:rFonts w:ascii="Times New Roman" w:eastAsia="Aptos" w:hAnsi="Times New Roman" w:cs="Times New Roman"/>
        </w:rPr>
        <w:t xml:space="preserve"> pravilnom rasporedu stanica. Manje strukture se i simetrično organiziraju u pravilne strukture minimizirajući energiju potrebnu za odražavanje konvekcije. Također, stanične strukture omogućuju da gradijent gustoće fluida bude uravnotežen na lokalnoj razini te da se fluida lakše prilagodi gradijentu površinske napetosti. Najčešća vrsta uzorka koji nastaje su heksagonalne strukture. Heksagonalne strukture nastaju kada Rayleighov broj premaši kritičnu vrijednost te kada su svi parametri idealni. Uz heksagonalne stanice, mogu se paralelno pojaviti i pentagonalne stanice. Svaka stanica ima vertikalni tok koji se kreće od donje prema gornjoj ploči, a okružena je obrnutim tokom na rubovima stanica (Slika </w:t>
      </w:r>
      <w:r>
        <w:rPr>
          <w:rFonts w:ascii="Times New Roman" w:eastAsia="Aptos" w:hAnsi="Times New Roman" w:cs="Times New Roman"/>
        </w:rPr>
        <w:t>3</w:t>
      </w:r>
      <w:r w:rsidRPr="00EE5400">
        <w:rPr>
          <w:rFonts w:ascii="Times New Roman" w:eastAsia="Aptos" w:hAnsi="Times New Roman" w:cs="Times New Roman"/>
        </w:rPr>
        <w:t xml:space="preserve">.) </w:t>
      </w:r>
    </w:p>
    <w:p w14:paraId="167DED7A" w14:textId="77777777" w:rsidR="00D752CD" w:rsidRPr="00EE5400" w:rsidRDefault="00D752CD" w:rsidP="00D752CD">
      <w:pPr>
        <w:spacing w:line="276" w:lineRule="auto"/>
        <w:jc w:val="center"/>
        <w:rPr>
          <w:rFonts w:ascii="Times New Roman" w:eastAsia="Aptos" w:hAnsi="Times New Roman" w:cs="Times New Roman"/>
        </w:rPr>
      </w:pPr>
      <w:r w:rsidRPr="00EE5400">
        <w:rPr>
          <w:rFonts w:ascii="Times New Roman" w:eastAsia="Aptos" w:hAnsi="Times New Roman" w:cs="Times New Roman"/>
          <w:lang w:val="en-US"/>
        </w:rPr>
        <w:drawing>
          <wp:inline distT="0" distB="0" distL="0" distR="0" wp14:anchorId="15B813D2" wp14:editId="51DD0D98">
            <wp:extent cx="3376326" cy="1517904"/>
            <wp:effectExtent l="0" t="0" r="0" b="6350"/>
            <wp:docPr id="998784433" name="Picture 1" descr="PDF] Rayleigh-bénard convection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Rayleigh-bénard convection | Semantic Schol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6326" cy="1517904"/>
                    </a:xfrm>
                    <a:prstGeom prst="rect">
                      <a:avLst/>
                    </a:prstGeom>
                    <a:noFill/>
                    <a:ln>
                      <a:noFill/>
                    </a:ln>
                  </pic:spPr>
                </pic:pic>
              </a:graphicData>
            </a:graphic>
          </wp:inline>
        </w:drawing>
      </w:r>
    </w:p>
    <w:p w14:paraId="780C0F66" w14:textId="77777777" w:rsidR="00D752CD" w:rsidRPr="00EE5400" w:rsidRDefault="00D752CD" w:rsidP="00D752CD">
      <w:pPr>
        <w:spacing w:line="276" w:lineRule="auto"/>
        <w:jc w:val="center"/>
        <w:rPr>
          <w:rFonts w:ascii="Times New Roman" w:eastAsia="Aptos" w:hAnsi="Times New Roman" w:cs="Times New Roman"/>
          <w:vertAlign w:val="superscript"/>
        </w:rPr>
      </w:pPr>
      <w:r w:rsidRPr="00EE5400">
        <w:rPr>
          <w:rFonts w:ascii="Times New Roman" w:eastAsia="Aptos" w:hAnsi="Times New Roman" w:cs="Times New Roman"/>
        </w:rPr>
        <w:t xml:space="preserve">Slika </w:t>
      </w:r>
      <w:r>
        <w:rPr>
          <w:rFonts w:ascii="Times New Roman" w:eastAsia="Aptos" w:hAnsi="Times New Roman" w:cs="Times New Roman"/>
        </w:rPr>
        <w:t>3</w:t>
      </w:r>
      <w:r w:rsidRPr="00EE5400">
        <w:rPr>
          <w:rFonts w:ascii="Times New Roman" w:eastAsia="Aptos" w:hAnsi="Times New Roman" w:cs="Times New Roman"/>
        </w:rPr>
        <w:t>. Heksagonalne Bénardove stanice</w:t>
      </w:r>
      <w:bookmarkStart w:id="0" w:name="_Hlk190899034"/>
      <w:r w:rsidRPr="00EE5400">
        <w:rPr>
          <w:rFonts w:ascii="Times New Roman" w:eastAsia="Aptos" w:hAnsi="Times New Roman" w:cs="Times New Roman"/>
          <w:vertAlign w:val="superscript"/>
        </w:rPr>
        <w:t>[</w:t>
      </w:r>
      <w:r>
        <w:rPr>
          <w:rFonts w:ascii="Times New Roman" w:eastAsia="Aptos" w:hAnsi="Times New Roman" w:cs="Times New Roman"/>
          <w:vertAlign w:val="superscript"/>
        </w:rPr>
        <w:t>3</w:t>
      </w:r>
      <w:r w:rsidRPr="00EE5400">
        <w:rPr>
          <w:rFonts w:ascii="Times New Roman" w:eastAsia="Aptos" w:hAnsi="Times New Roman" w:cs="Times New Roman"/>
          <w:vertAlign w:val="superscript"/>
        </w:rPr>
        <w:t>]</w:t>
      </w:r>
      <w:bookmarkEnd w:id="0"/>
    </w:p>
    <w:p w14:paraId="01B7B119" w14:textId="77777777" w:rsidR="00D752CD" w:rsidRPr="00547EB4" w:rsidRDefault="00D752CD" w:rsidP="00D752CD">
      <w:pPr>
        <w:spacing w:line="276" w:lineRule="auto"/>
        <w:jc w:val="both"/>
        <w:rPr>
          <w:rFonts w:ascii="Times New Roman" w:eastAsia="Aptos" w:hAnsi="Times New Roman" w:cs="Times New Roman"/>
        </w:rPr>
      </w:pPr>
      <w:r w:rsidRPr="00EE5400">
        <w:rPr>
          <w:rFonts w:ascii="Times New Roman" w:eastAsia="Aptos" w:hAnsi="Times New Roman" w:cs="Times New Roman"/>
        </w:rPr>
        <w:t xml:space="preserve">Osim heksagonalnih stanica, mogu nastati i kvadratne stanice. Ova vrsta struktura nastaje kada je Rayleighov broj puno veći od kritične vrijednosti, a nije došlo do turbulentnog strujanja fluida. Nepravilan oblik posude ili posude malog polumjera također mogu dovesti do stvaranja navedenog uzorka. Kvadratne stanice imaju četiri vertikalna toka, jedan u svakome kutu stanice. Osim prije navedenih pravilnih uzoraka mogu nastati i nepravilne strukture. Kada je sustav otvoren, na oblik Bénardovih stanica utječe i površinska napetost. Gradijent površinske napetost na gornjoj površini fluida uzrokovan promjenom temperature uzrokovat će nastanak nepravilnih struktura koje nalikuju stanicama, ali nemaju pravilne rubove kao što je slučaj u „čistoj“ konvekciji Rayleigh-Bénard. Broj stanica uvelike ovisi o dimenzijama posude i debljini sloja fluida. </w:t>
      </w:r>
    </w:p>
    <w:p w14:paraId="7F11B510" w14:textId="77777777" w:rsidR="00D752CD" w:rsidRPr="00547EB4" w:rsidRDefault="00D752CD" w:rsidP="00D752CD">
      <w:pPr>
        <w:spacing w:line="276" w:lineRule="auto"/>
        <w:jc w:val="both"/>
        <w:rPr>
          <w:rFonts w:ascii="Times New Roman" w:eastAsia="Aptos" w:hAnsi="Times New Roman" w:cs="Times New Roman"/>
        </w:rPr>
      </w:pPr>
      <w:r w:rsidRPr="00EE5400">
        <w:rPr>
          <w:rFonts w:ascii="Times New Roman" w:eastAsia="Aptos" w:hAnsi="Times New Roman" w:cs="Times New Roman"/>
        </w:rPr>
        <w:t>Kako bi se vizualiziralo Bénardove stanice, koriste se reoskopski fluidi. Reoskopski fluidi su fluidi čija su strujanja vidljiva</w:t>
      </w:r>
      <w:r w:rsidRPr="00EE5400">
        <w:rPr>
          <w:rFonts w:ascii="Times New Roman" w:eastAsia="Aptos" w:hAnsi="Times New Roman" w:cs="Times New Roman"/>
          <w:vertAlign w:val="superscript"/>
        </w:rPr>
        <w:t>[</w:t>
      </w:r>
      <w:r>
        <w:rPr>
          <w:rFonts w:ascii="Times New Roman" w:eastAsia="Aptos" w:hAnsi="Times New Roman" w:cs="Times New Roman"/>
          <w:vertAlign w:val="superscript"/>
        </w:rPr>
        <w:t>1</w:t>
      </w:r>
      <w:r w:rsidRPr="00EE5400">
        <w:rPr>
          <w:rFonts w:ascii="Times New Roman" w:eastAsia="Aptos" w:hAnsi="Times New Roman" w:cs="Times New Roman"/>
          <w:vertAlign w:val="superscript"/>
        </w:rPr>
        <w:t>]</w:t>
      </w:r>
      <w:r w:rsidRPr="00EE5400">
        <w:rPr>
          <w:rFonts w:ascii="Times New Roman" w:eastAsia="Aptos" w:hAnsi="Times New Roman" w:cs="Times New Roman"/>
        </w:rPr>
        <w:t>. Primjer reoskopskog fluida su suspenzije ulja i praha. Suspenzije su disperzni sustavi gdje je disperzno sredstvo tekuća tvar, a dispergirana faza je krutina veličine veće od 1 µm (10</w:t>
      </w:r>
      <w:r w:rsidRPr="00EE5400">
        <w:rPr>
          <w:rFonts w:ascii="Times New Roman" w:eastAsia="Aptos" w:hAnsi="Times New Roman" w:cs="Times New Roman"/>
          <w:vertAlign w:val="superscript"/>
        </w:rPr>
        <w:t>-6</w:t>
      </w:r>
      <w:r w:rsidRPr="00EE5400">
        <w:rPr>
          <w:rFonts w:ascii="Times New Roman" w:eastAsia="Aptos" w:hAnsi="Times New Roman" w:cs="Times New Roman"/>
        </w:rPr>
        <w:t xml:space="preserve">m). Osim što prikazuju gibanje fluida, povećavaju vrelište fluida omogućujući veću temperaturnu razliku prilikom zagrijavanja. </w:t>
      </w:r>
    </w:p>
    <w:p w14:paraId="655C34BA" w14:textId="77777777" w:rsidR="00D752CD" w:rsidRPr="002C58AA" w:rsidRDefault="00D752CD" w:rsidP="00D752CD">
      <w:pPr>
        <w:spacing w:line="276" w:lineRule="auto"/>
        <w:jc w:val="both"/>
        <w:rPr>
          <w:rFonts w:ascii="Times New Roman" w:eastAsia="Aptos" w:hAnsi="Times New Roman" w:cs="Times New Roman"/>
          <w:i/>
          <w:iCs/>
          <w:color w:val="4472C4" w:themeColor="accent1"/>
          <w:sz w:val="20"/>
          <w:szCs w:val="20"/>
        </w:rPr>
      </w:pPr>
      <w:r w:rsidRPr="00276BEA">
        <w:rPr>
          <w:rFonts w:ascii="Times New Roman" w:eastAsia="Aptos" w:hAnsi="Times New Roman" w:cs="Times New Roman"/>
          <w:i/>
          <w:iCs/>
          <w:color w:val="4472C4" w:themeColor="accent1"/>
          <w:sz w:val="20"/>
          <w:szCs w:val="20"/>
        </w:rPr>
        <w:t>*Ovaj je tekst dio eksperimentalnog istraživačkog rada učenice Ivane Pintarić iz Gimnazije Josipa Slavenskog s kojim je sudjelovala na Turniru mladih fizičara 2025.</w:t>
      </w:r>
    </w:p>
    <w:p w14:paraId="1D5FB58A" w14:textId="77777777" w:rsidR="00D752CD" w:rsidRPr="00213ABB" w:rsidRDefault="00D752CD" w:rsidP="00D752CD">
      <w:pPr>
        <w:jc w:val="both"/>
        <w:rPr>
          <w:rFonts w:ascii="Times New Roman" w:hAnsi="Times New Roman" w:cs="Times New Roman"/>
          <w:sz w:val="20"/>
          <w:szCs w:val="20"/>
          <w:lang w:val="en-US"/>
        </w:rPr>
      </w:pPr>
      <w:r w:rsidRPr="00213ABB">
        <w:rPr>
          <w:rFonts w:ascii="Times New Roman" w:hAnsi="Times New Roman" w:cs="Times New Roman"/>
          <w:sz w:val="20"/>
          <w:szCs w:val="20"/>
        </w:rPr>
        <w:t>[</w:t>
      </w:r>
      <w:r w:rsidRPr="006251FC">
        <w:rPr>
          <w:rFonts w:ascii="Times New Roman" w:hAnsi="Times New Roman" w:cs="Times New Roman"/>
          <w:sz w:val="20"/>
          <w:szCs w:val="20"/>
        </w:rPr>
        <w:t>1</w:t>
      </w:r>
      <w:r w:rsidRPr="00213ABB">
        <w:rPr>
          <w:rFonts w:ascii="Times New Roman" w:hAnsi="Times New Roman" w:cs="Times New Roman"/>
          <w:sz w:val="20"/>
          <w:szCs w:val="20"/>
        </w:rPr>
        <w:t xml:space="preserve">] </w:t>
      </w:r>
      <w:r w:rsidRPr="00213ABB">
        <w:rPr>
          <w:rFonts w:ascii="Times New Roman" w:hAnsi="Times New Roman" w:cs="Times New Roman"/>
          <w:sz w:val="20"/>
          <w:szCs w:val="20"/>
          <w:lang w:val="en-US"/>
        </w:rPr>
        <w:t>Maroto, J. A., Pérez-</w:t>
      </w:r>
      <w:proofErr w:type="spellStart"/>
      <w:r w:rsidRPr="00213ABB">
        <w:rPr>
          <w:rFonts w:ascii="Times New Roman" w:hAnsi="Times New Roman" w:cs="Times New Roman"/>
          <w:sz w:val="20"/>
          <w:szCs w:val="20"/>
          <w:lang w:val="en-US"/>
        </w:rPr>
        <w:t>Muñuzuri</w:t>
      </w:r>
      <w:proofErr w:type="spellEnd"/>
      <w:r w:rsidRPr="00213ABB">
        <w:rPr>
          <w:rFonts w:ascii="Times New Roman" w:hAnsi="Times New Roman" w:cs="Times New Roman"/>
          <w:sz w:val="20"/>
          <w:szCs w:val="20"/>
          <w:lang w:val="en-US"/>
        </w:rPr>
        <w:t>, V., &amp; Romero-</w:t>
      </w:r>
      <w:proofErr w:type="spellStart"/>
      <w:r w:rsidRPr="00213ABB">
        <w:rPr>
          <w:rFonts w:ascii="Times New Roman" w:hAnsi="Times New Roman" w:cs="Times New Roman"/>
          <w:sz w:val="20"/>
          <w:szCs w:val="20"/>
          <w:lang w:val="en-US"/>
        </w:rPr>
        <w:t>Cano</w:t>
      </w:r>
      <w:proofErr w:type="spellEnd"/>
      <w:r w:rsidRPr="00213ABB">
        <w:rPr>
          <w:rFonts w:ascii="Times New Roman" w:hAnsi="Times New Roman" w:cs="Times New Roman"/>
          <w:sz w:val="20"/>
          <w:szCs w:val="20"/>
          <w:lang w:val="en-US"/>
        </w:rPr>
        <w:t>, M. S. (2007). </w:t>
      </w:r>
      <w:r w:rsidRPr="00213ABB">
        <w:rPr>
          <w:rFonts w:ascii="Times New Roman" w:hAnsi="Times New Roman" w:cs="Times New Roman"/>
          <w:i/>
          <w:iCs/>
          <w:sz w:val="20"/>
          <w:szCs w:val="20"/>
          <w:lang w:val="en-US"/>
        </w:rPr>
        <w:t xml:space="preserve">Introductory analysis of </w:t>
      </w:r>
      <w:proofErr w:type="spellStart"/>
      <w:r w:rsidRPr="00213ABB">
        <w:rPr>
          <w:rFonts w:ascii="Times New Roman" w:hAnsi="Times New Roman" w:cs="Times New Roman"/>
          <w:i/>
          <w:iCs/>
          <w:sz w:val="20"/>
          <w:szCs w:val="20"/>
          <w:lang w:val="en-US"/>
        </w:rPr>
        <w:t>Bénard</w:t>
      </w:r>
      <w:proofErr w:type="spellEnd"/>
      <w:r w:rsidRPr="00213ABB">
        <w:rPr>
          <w:rFonts w:ascii="Times New Roman" w:hAnsi="Times New Roman" w:cs="Times New Roman"/>
          <w:i/>
          <w:iCs/>
          <w:sz w:val="20"/>
          <w:szCs w:val="20"/>
          <w:lang w:val="en-US"/>
        </w:rPr>
        <w:t>–Marangoni convection. European Journal of Physics, 28(2), 311–320.</w:t>
      </w:r>
    </w:p>
    <w:p w14:paraId="7BC42D2C" w14:textId="77777777" w:rsidR="00D752CD" w:rsidRPr="00213ABB" w:rsidRDefault="00D752CD" w:rsidP="00D752CD">
      <w:pPr>
        <w:jc w:val="both"/>
        <w:rPr>
          <w:rFonts w:ascii="Times New Roman" w:hAnsi="Times New Roman" w:cs="Times New Roman"/>
          <w:sz w:val="20"/>
          <w:szCs w:val="20"/>
          <w:lang w:val="en-US"/>
        </w:rPr>
      </w:pPr>
      <w:r w:rsidRPr="00213ABB">
        <w:rPr>
          <w:rFonts w:ascii="Times New Roman" w:hAnsi="Times New Roman" w:cs="Times New Roman"/>
          <w:sz w:val="20"/>
          <w:szCs w:val="20"/>
        </w:rPr>
        <w:t>[</w:t>
      </w:r>
      <w:r w:rsidRPr="006251FC">
        <w:rPr>
          <w:rFonts w:ascii="Times New Roman" w:hAnsi="Times New Roman" w:cs="Times New Roman"/>
          <w:sz w:val="20"/>
          <w:szCs w:val="20"/>
        </w:rPr>
        <w:t>2</w:t>
      </w:r>
      <w:r w:rsidRPr="00213ABB">
        <w:rPr>
          <w:rFonts w:ascii="Times New Roman" w:hAnsi="Times New Roman" w:cs="Times New Roman"/>
          <w:sz w:val="20"/>
          <w:szCs w:val="20"/>
        </w:rPr>
        <w:t xml:space="preserve">] P. </w:t>
      </w:r>
      <w:proofErr w:type="spellStart"/>
      <w:r w:rsidRPr="00213ABB">
        <w:rPr>
          <w:rFonts w:ascii="Times New Roman" w:hAnsi="Times New Roman" w:cs="Times New Roman"/>
          <w:sz w:val="20"/>
          <w:szCs w:val="20"/>
        </w:rPr>
        <w:t>Bergé</w:t>
      </w:r>
      <w:proofErr w:type="spellEnd"/>
      <w:r w:rsidRPr="00213ABB">
        <w:rPr>
          <w:rFonts w:ascii="Times New Roman" w:hAnsi="Times New Roman" w:cs="Times New Roman"/>
          <w:sz w:val="20"/>
          <w:szCs w:val="20"/>
        </w:rPr>
        <w:t xml:space="preserve"> &amp; M. </w:t>
      </w:r>
      <w:proofErr w:type="spellStart"/>
      <w:r w:rsidRPr="00213ABB">
        <w:rPr>
          <w:rFonts w:ascii="Times New Roman" w:hAnsi="Times New Roman" w:cs="Times New Roman"/>
          <w:sz w:val="20"/>
          <w:szCs w:val="20"/>
        </w:rPr>
        <w:t>Dubois</w:t>
      </w:r>
      <w:proofErr w:type="spellEnd"/>
      <w:r w:rsidRPr="00213ABB">
        <w:rPr>
          <w:rFonts w:ascii="Times New Roman" w:hAnsi="Times New Roman" w:cs="Times New Roman"/>
          <w:sz w:val="20"/>
          <w:szCs w:val="20"/>
        </w:rPr>
        <w:t xml:space="preserve"> (1984) </w:t>
      </w:r>
      <w:proofErr w:type="spellStart"/>
      <w:r w:rsidRPr="00213ABB">
        <w:rPr>
          <w:rFonts w:ascii="Times New Roman" w:hAnsi="Times New Roman" w:cs="Times New Roman"/>
          <w:i/>
          <w:iCs/>
          <w:sz w:val="20"/>
          <w:szCs w:val="20"/>
        </w:rPr>
        <w:t>Rayleigh-bénard</w:t>
      </w:r>
      <w:proofErr w:type="spellEnd"/>
      <w:r w:rsidRPr="00213ABB">
        <w:rPr>
          <w:rFonts w:ascii="Times New Roman" w:hAnsi="Times New Roman" w:cs="Times New Roman"/>
          <w:i/>
          <w:iCs/>
          <w:sz w:val="20"/>
          <w:szCs w:val="20"/>
        </w:rPr>
        <w:t xml:space="preserve"> </w:t>
      </w:r>
      <w:proofErr w:type="spellStart"/>
      <w:r w:rsidRPr="00213ABB">
        <w:rPr>
          <w:rFonts w:ascii="Times New Roman" w:hAnsi="Times New Roman" w:cs="Times New Roman"/>
          <w:i/>
          <w:iCs/>
          <w:sz w:val="20"/>
          <w:szCs w:val="20"/>
        </w:rPr>
        <w:t>convection</w:t>
      </w:r>
      <w:proofErr w:type="spellEnd"/>
      <w:r w:rsidRPr="00213ABB">
        <w:rPr>
          <w:rFonts w:ascii="Times New Roman" w:hAnsi="Times New Roman" w:cs="Times New Roman"/>
          <w:i/>
          <w:iCs/>
          <w:sz w:val="20"/>
          <w:szCs w:val="20"/>
        </w:rPr>
        <w:t xml:space="preserve">, </w:t>
      </w:r>
      <w:proofErr w:type="spellStart"/>
      <w:r w:rsidRPr="00213ABB">
        <w:rPr>
          <w:rFonts w:ascii="Times New Roman" w:hAnsi="Times New Roman" w:cs="Times New Roman"/>
          <w:i/>
          <w:iCs/>
          <w:sz w:val="20"/>
          <w:szCs w:val="20"/>
        </w:rPr>
        <w:t>Contemporary</w:t>
      </w:r>
      <w:proofErr w:type="spellEnd"/>
      <w:r w:rsidRPr="00213ABB">
        <w:rPr>
          <w:rFonts w:ascii="Times New Roman" w:hAnsi="Times New Roman" w:cs="Times New Roman"/>
          <w:sz w:val="20"/>
          <w:szCs w:val="20"/>
        </w:rPr>
        <w:t xml:space="preserve">, </w:t>
      </w:r>
      <w:proofErr w:type="spellStart"/>
      <w:r w:rsidRPr="00213ABB">
        <w:rPr>
          <w:rFonts w:ascii="Times New Roman" w:hAnsi="Times New Roman" w:cs="Times New Roman"/>
          <w:sz w:val="20"/>
          <w:szCs w:val="20"/>
        </w:rPr>
        <w:t>Physics</w:t>
      </w:r>
      <w:proofErr w:type="spellEnd"/>
      <w:r w:rsidRPr="00213ABB">
        <w:rPr>
          <w:rFonts w:ascii="Times New Roman" w:hAnsi="Times New Roman" w:cs="Times New Roman"/>
          <w:sz w:val="20"/>
          <w:szCs w:val="20"/>
        </w:rPr>
        <w:t>, 25:6, 535-582</w:t>
      </w:r>
    </w:p>
    <w:p w14:paraId="3005DA1C" w14:textId="77777777" w:rsidR="00D752CD" w:rsidRPr="00213ABB" w:rsidRDefault="00D752CD" w:rsidP="00D752CD">
      <w:pPr>
        <w:jc w:val="both"/>
        <w:rPr>
          <w:rFonts w:ascii="Times New Roman" w:hAnsi="Times New Roman" w:cs="Times New Roman"/>
          <w:sz w:val="20"/>
          <w:szCs w:val="20"/>
          <w:lang w:val="en-US"/>
        </w:rPr>
      </w:pPr>
      <w:r w:rsidRPr="00213ABB">
        <w:rPr>
          <w:rFonts w:ascii="Times New Roman" w:hAnsi="Times New Roman" w:cs="Times New Roman"/>
          <w:sz w:val="20"/>
          <w:szCs w:val="20"/>
        </w:rPr>
        <w:t>[</w:t>
      </w:r>
      <w:r w:rsidRPr="006251FC">
        <w:rPr>
          <w:rFonts w:ascii="Times New Roman" w:hAnsi="Times New Roman" w:cs="Times New Roman"/>
          <w:sz w:val="20"/>
          <w:szCs w:val="20"/>
        </w:rPr>
        <w:t>3</w:t>
      </w:r>
      <w:r w:rsidRPr="00213ABB">
        <w:rPr>
          <w:rFonts w:ascii="Times New Roman" w:hAnsi="Times New Roman" w:cs="Times New Roman"/>
          <w:sz w:val="20"/>
          <w:szCs w:val="20"/>
        </w:rPr>
        <w:t xml:space="preserve">] </w:t>
      </w:r>
      <w:r w:rsidRPr="00213ABB">
        <w:rPr>
          <w:rFonts w:ascii="Times New Roman" w:hAnsi="Times New Roman" w:cs="Times New Roman"/>
          <w:sz w:val="20"/>
          <w:szCs w:val="20"/>
          <w:lang w:val="en-US"/>
        </w:rPr>
        <w:t xml:space="preserve">Zhang, L., Ke-Qing, X. (2023). </w:t>
      </w:r>
      <w:r w:rsidRPr="00213ABB">
        <w:rPr>
          <w:rFonts w:ascii="Times New Roman" w:hAnsi="Times New Roman" w:cs="Times New Roman"/>
          <w:i/>
          <w:iCs/>
          <w:sz w:val="20"/>
          <w:szCs w:val="20"/>
          <w:lang w:val="en-US"/>
        </w:rPr>
        <w:t>Heat transfer in a quasi-one-dimensional Rayleigh–</w:t>
      </w:r>
      <w:proofErr w:type="spellStart"/>
      <w:r w:rsidRPr="00213ABB">
        <w:rPr>
          <w:rFonts w:ascii="Times New Roman" w:hAnsi="Times New Roman" w:cs="Times New Roman"/>
          <w:i/>
          <w:iCs/>
          <w:sz w:val="20"/>
          <w:szCs w:val="20"/>
          <w:lang w:val="en-US"/>
        </w:rPr>
        <w:t>Bénard</w:t>
      </w:r>
      <w:proofErr w:type="spellEnd"/>
      <w:r w:rsidRPr="00213ABB">
        <w:rPr>
          <w:rFonts w:ascii="Times New Roman" w:hAnsi="Times New Roman" w:cs="Times New Roman"/>
          <w:i/>
          <w:iCs/>
          <w:sz w:val="20"/>
          <w:szCs w:val="20"/>
          <w:lang w:val="en-US"/>
        </w:rPr>
        <w:t xml:space="preserve"> convection cell</w:t>
      </w:r>
      <w:r w:rsidRPr="00213ABB">
        <w:rPr>
          <w:rFonts w:ascii="Times New Roman" w:hAnsi="Times New Roman" w:cs="Times New Roman"/>
          <w:sz w:val="20"/>
          <w:szCs w:val="20"/>
          <w:lang w:val="en-US"/>
        </w:rPr>
        <w:t xml:space="preserve">. </w:t>
      </w:r>
      <w:r w:rsidRPr="00213ABB">
        <w:rPr>
          <w:rFonts w:ascii="Times New Roman" w:hAnsi="Times New Roman" w:cs="Times New Roman"/>
          <w:i/>
          <w:iCs/>
          <w:sz w:val="20"/>
          <w:szCs w:val="20"/>
          <w:lang w:val="en-US"/>
        </w:rPr>
        <w:t xml:space="preserve">J. Fluid Mech. </w:t>
      </w:r>
      <w:r w:rsidRPr="00213ABB">
        <w:rPr>
          <w:rFonts w:ascii="Times New Roman" w:hAnsi="Times New Roman" w:cs="Times New Roman"/>
          <w:sz w:val="20"/>
          <w:szCs w:val="20"/>
          <w:lang w:val="en-US"/>
        </w:rPr>
        <w:t xml:space="preserve">(2023), </w:t>
      </w:r>
      <w:r w:rsidRPr="00213ABB">
        <w:rPr>
          <w:rFonts w:ascii="Times New Roman" w:hAnsi="Times New Roman" w:cs="Times New Roman"/>
          <w:i/>
          <w:iCs/>
          <w:sz w:val="20"/>
          <w:szCs w:val="20"/>
          <w:lang w:val="en-US"/>
        </w:rPr>
        <w:t>vol. 973</w:t>
      </w:r>
    </w:p>
    <w:p w14:paraId="6B8D3804" w14:textId="77777777" w:rsidR="00D752CD" w:rsidRPr="006251FC" w:rsidRDefault="00D752CD" w:rsidP="00D752CD">
      <w:pPr>
        <w:jc w:val="both"/>
        <w:rPr>
          <w:rFonts w:ascii="Times New Roman" w:hAnsi="Times New Roman" w:cs="Times New Roman"/>
          <w:sz w:val="20"/>
          <w:szCs w:val="20"/>
        </w:rPr>
      </w:pPr>
      <w:r w:rsidRPr="00213ABB">
        <w:rPr>
          <w:rFonts w:ascii="Times New Roman" w:hAnsi="Times New Roman" w:cs="Times New Roman"/>
          <w:sz w:val="20"/>
          <w:szCs w:val="20"/>
        </w:rPr>
        <w:t>[</w:t>
      </w:r>
      <w:r w:rsidRPr="006251FC">
        <w:rPr>
          <w:rFonts w:ascii="Times New Roman" w:hAnsi="Times New Roman" w:cs="Times New Roman"/>
          <w:sz w:val="20"/>
          <w:szCs w:val="20"/>
        </w:rPr>
        <w:t>4</w:t>
      </w:r>
      <w:r w:rsidRPr="00213ABB">
        <w:rPr>
          <w:rFonts w:ascii="Times New Roman" w:hAnsi="Times New Roman" w:cs="Times New Roman"/>
          <w:sz w:val="20"/>
          <w:szCs w:val="20"/>
        </w:rPr>
        <w:t>]</w:t>
      </w:r>
      <w:r w:rsidRPr="006251FC">
        <w:rPr>
          <w:rFonts w:ascii="Times New Roman" w:hAnsi="Times New Roman" w:cs="Times New Roman"/>
          <w:sz w:val="20"/>
          <w:szCs w:val="20"/>
        </w:rPr>
        <w:t>https://phys.libretexts.org/Bookshelves/University_Physics/Physics_%28Boundless%29/13%3A_Heat_and_Heat_Transfer/13.4%3A_Methods_of_Heat_Transfer</w:t>
      </w:r>
    </w:p>
    <w:p w14:paraId="23AAD51C" w14:textId="77777777" w:rsidR="00D752CD" w:rsidRPr="006251FC" w:rsidRDefault="00D752CD" w:rsidP="00D752CD">
      <w:pPr>
        <w:jc w:val="both"/>
        <w:rPr>
          <w:rFonts w:ascii="Times New Roman" w:hAnsi="Times New Roman" w:cs="Times New Roman"/>
          <w:sz w:val="20"/>
          <w:szCs w:val="20"/>
        </w:rPr>
      </w:pPr>
    </w:p>
    <w:p w14:paraId="55F1BB5A" w14:textId="77777777" w:rsidR="00C04D91" w:rsidRDefault="00C04D91"/>
    <w:sectPr w:rsidR="00C04D9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2CD"/>
    <w:rsid w:val="001B5993"/>
    <w:rsid w:val="00641E63"/>
    <w:rsid w:val="00C04D91"/>
    <w:rsid w:val="00D75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86E4"/>
  <w15:chartTrackingRefBased/>
  <w15:docId w15:val="{EF7B91F3-366A-4B92-98CB-4985E2621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2CD"/>
    <w:rPr>
      <w:lang w:val="hr-HR"/>
    </w:rPr>
  </w:style>
  <w:style w:type="paragraph" w:styleId="Naslov1">
    <w:name w:val="heading 1"/>
    <w:basedOn w:val="Normal"/>
    <w:next w:val="Normal"/>
    <w:link w:val="Naslov1Char"/>
    <w:uiPriority w:val="9"/>
    <w:qFormat/>
    <w:rsid w:val="00D752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D752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D752CD"/>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D752CD"/>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D752CD"/>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D752CD"/>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D752CD"/>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D752CD"/>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D752CD"/>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752CD"/>
    <w:rPr>
      <w:rFonts w:asciiTheme="majorHAnsi" w:eastAsiaTheme="majorEastAsia" w:hAnsiTheme="majorHAnsi" w:cstheme="majorBidi"/>
      <w:color w:val="2F5496" w:themeColor="accent1" w:themeShade="BF"/>
      <w:sz w:val="40"/>
      <w:szCs w:val="40"/>
      <w:lang w:val="hr-HR"/>
    </w:rPr>
  </w:style>
  <w:style w:type="character" w:customStyle="1" w:styleId="Naslov2Char">
    <w:name w:val="Naslov 2 Char"/>
    <w:basedOn w:val="Zadanifontodlomka"/>
    <w:link w:val="Naslov2"/>
    <w:uiPriority w:val="9"/>
    <w:semiHidden/>
    <w:rsid w:val="00D752CD"/>
    <w:rPr>
      <w:rFonts w:asciiTheme="majorHAnsi" w:eastAsiaTheme="majorEastAsia" w:hAnsiTheme="majorHAnsi" w:cstheme="majorBidi"/>
      <w:color w:val="2F5496" w:themeColor="accent1" w:themeShade="BF"/>
      <w:sz w:val="32"/>
      <w:szCs w:val="32"/>
      <w:lang w:val="hr-HR"/>
    </w:rPr>
  </w:style>
  <w:style w:type="character" w:customStyle="1" w:styleId="Naslov3Char">
    <w:name w:val="Naslov 3 Char"/>
    <w:basedOn w:val="Zadanifontodlomka"/>
    <w:link w:val="Naslov3"/>
    <w:uiPriority w:val="9"/>
    <w:semiHidden/>
    <w:rsid w:val="00D752CD"/>
    <w:rPr>
      <w:rFonts w:eastAsiaTheme="majorEastAsia" w:cstheme="majorBidi"/>
      <w:color w:val="2F5496" w:themeColor="accent1" w:themeShade="BF"/>
      <w:sz w:val="28"/>
      <w:szCs w:val="28"/>
      <w:lang w:val="hr-HR"/>
    </w:rPr>
  </w:style>
  <w:style w:type="character" w:customStyle="1" w:styleId="Naslov4Char">
    <w:name w:val="Naslov 4 Char"/>
    <w:basedOn w:val="Zadanifontodlomka"/>
    <w:link w:val="Naslov4"/>
    <w:uiPriority w:val="9"/>
    <w:semiHidden/>
    <w:rsid w:val="00D752CD"/>
    <w:rPr>
      <w:rFonts w:eastAsiaTheme="majorEastAsia" w:cstheme="majorBidi"/>
      <w:i/>
      <w:iCs/>
      <w:color w:val="2F5496" w:themeColor="accent1" w:themeShade="BF"/>
      <w:lang w:val="hr-HR"/>
    </w:rPr>
  </w:style>
  <w:style w:type="character" w:customStyle="1" w:styleId="Naslov5Char">
    <w:name w:val="Naslov 5 Char"/>
    <w:basedOn w:val="Zadanifontodlomka"/>
    <w:link w:val="Naslov5"/>
    <w:uiPriority w:val="9"/>
    <w:semiHidden/>
    <w:rsid w:val="00D752CD"/>
    <w:rPr>
      <w:rFonts w:eastAsiaTheme="majorEastAsia" w:cstheme="majorBidi"/>
      <w:color w:val="2F5496" w:themeColor="accent1" w:themeShade="BF"/>
      <w:lang w:val="hr-HR"/>
    </w:rPr>
  </w:style>
  <w:style w:type="character" w:customStyle="1" w:styleId="Naslov6Char">
    <w:name w:val="Naslov 6 Char"/>
    <w:basedOn w:val="Zadanifontodlomka"/>
    <w:link w:val="Naslov6"/>
    <w:uiPriority w:val="9"/>
    <w:semiHidden/>
    <w:rsid w:val="00D752CD"/>
    <w:rPr>
      <w:rFonts w:eastAsiaTheme="majorEastAsia" w:cstheme="majorBidi"/>
      <w:i/>
      <w:iCs/>
      <w:color w:val="595959" w:themeColor="text1" w:themeTint="A6"/>
      <w:lang w:val="hr-HR"/>
    </w:rPr>
  </w:style>
  <w:style w:type="character" w:customStyle="1" w:styleId="Naslov7Char">
    <w:name w:val="Naslov 7 Char"/>
    <w:basedOn w:val="Zadanifontodlomka"/>
    <w:link w:val="Naslov7"/>
    <w:uiPriority w:val="9"/>
    <w:semiHidden/>
    <w:rsid w:val="00D752CD"/>
    <w:rPr>
      <w:rFonts w:eastAsiaTheme="majorEastAsia" w:cstheme="majorBidi"/>
      <w:color w:val="595959" w:themeColor="text1" w:themeTint="A6"/>
      <w:lang w:val="hr-HR"/>
    </w:rPr>
  </w:style>
  <w:style w:type="character" w:customStyle="1" w:styleId="Naslov8Char">
    <w:name w:val="Naslov 8 Char"/>
    <w:basedOn w:val="Zadanifontodlomka"/>
    <w:link w:val="Naslov8"/>
    <w:uiPriority w:val="9"/>
    <w:semiHidden/>
    <w:rsid w:val="00D752CD"/>
    <w:rPr>
      <w:rFonts w:eastAsiaTheme="majorEastAsia" w:cstheme="majorBidi"/>
      <w:i/>
      <w:iCs/>
      <w:color w:val="272727" w:themeColor="text1" w:themeTint="D8"/>
      <w:lang w:val="hr-HR"/>
    </w:rPr>
  </w:style>
  <w:style w:type="character" w:customStyle="1" w:styleId="Naslov9Char">
    <w:name w:val="Naslov 9 Char"/>
    <w:basedOn w:val="Zadanifontodlomka"/>
    <w:link w:val="Naslov9"/>
    <w:uiPriority w:val="9"/>
    <w:semiHidden/>
    <w:rsid w:val="00D752CD"/>
    <w:rPr>
      <w:rFonts w:eastAsiaTheme="majorEastAsia" w:cstheme="majorBidi"/>
      <w:color w:val="272727" w:themeColor="text1" w:themeTint="D8"/>
      <w:lang w:val="hr-HR"/>
    </w:rPr>
  </w:style>
  <w:style w:type="paragraph" w:styleId="Naslov">
    <w:name w:val="Title"/>
    <w:basedOn w:val="Normal"/>
    <w:next w:val="Normal"/>
    <w:link w:val="NaslovChar"/>
    <w:uiPriority w:val="10"/>
    <w:qFormat/>
    <w:rsid w:val="00D752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D752CD"/>
    <w:rPr>
      <w:rFonts w:asciiTheme="majorHAnsi" w:eastAsiaTheme="majorEastAsia" w:hAnsiTheme="majorHAnsi" w:cstheme="majorBidi"/>
      <w:spacing w:val="-10"/>
      <w:kern w:val="28"/>
      <w:sz w:val="56"/>
      <w:szCs w:val="56"/>
      <w:lang w:val="hr-HR"/>
    </w:rPr>
  </w:style>
  <w:style w:type="paragraph" w:styleId="Podnaslov">
    <w:name w:val="Subtitle"/>
    <w:basedOn w:val="Normal"/>
    <w:next w:val="Normal"/>
    <w:link w:val="PodnaslovChar"/>
    <w:uiPriority w:val="11"/>
    <w:qFormat/>
    <w:rsid w:val="00D752CD"/>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D752CD"/>
    <w:rPr>
      <w:rFonts w:eastAsiaTheme="majorEastAsia" w:cstheme="majorBidi"/>
      <w:color w:val="595959" w:themeColor="text1" w:themeTint="A6"/>
      <w:spacing w:val="15"/>
      <w:sz w:val="28"/>
      <w:szCs w:val="28"/>
      <w:lang w:val="hr-HR"/>
    </w:rPr>
  </w:style>
  <w:style w:type="paragraph" w:styleId="Citat">
    <w:name w:val="Quote"/>
    <w:basedOn w:val="Normal"/>
    <w:next w:val="Normal"/>
    <w:link w:val="CitatChar"/>
    <w:uiPriority w:val="29"/>
    <w:qFormat/>
    <w:rsid w:val="00D752CD"/>
    <w:pPr>
      <w:spacing w:before="160"/>
      <w:jc w:val="center"/>
    </w:pPr>
    <w:rPr>
      <w:i/>
      <w:iCs/>
      <w:color w:val="404040" w:themeColor="text1" w:themeTint="BF"/>
    </w:rPr>
  </w:style>
  <w:style w:type="character" w:customStyle="1" w:styleId="CitatChar">
    <w:name w:val="Citat Char"/>
    <w:basedOn w:val="Zadanifontodlomka"/>
    <w:link w:val="Citat"/>
    <w:uiPriority w:val="29"/>
    <w:rsid w:val="00D752CD"/>
    <w:rPr>
      <w:i/>
      <w:iCs/>
      <w:color w:val="404040" w:themeColor="text1" w:themeTint="BF"/>
      <w:lang w:val="hr-HR"/>
    </w:rPr>
  </w:style>
  <w:style w:type="paragraph" w:styleId="Odlomakpopisa">
    <w:name w:val="List Paragraph"/>
    <w:basedOn w:val="Normal"/>
    <w:uiPriority w:val="34"/>
    <w:qFormat/>
    <w:rsid w:val="00D752CD"/>
    <w:pPr>
      <w:ind w:left="720"/>
      <w:contextualSpacing/>
    </w:pPr>
  </w:style>
  <w:style w:type="character" w:styleId="Jakoisticanje">
    <w:name w:val="Intense Emphasis"/>
    <w:basedOn w:val="Zadanifontodlomka"/>
    <w:uiPriority w:val="21"/>
    <w:qFormat/>
    <w:rsid w:val="00D752CD"/>
    <w:rPr>
      <w:i/>
      <w:iCs/>
      <w:color w:val="2F5496" w:themeColor="accent1" w:themeShade="BF"/>
    </w:rPr>
  </w:style>
  <w:style w:type="paragraph" w:styleId="Naglaencitat">
    <w:name w:val="Intense Quote"/>
    <w:basedOn w:val="Normal"/>
    <w:next w:val="Normal"/>
    <w:link w:val="NaglaencitatChar"/>
    <w:uiPriority w:val="30"/>
    <w:qFormat/>
    <w:rsid w:val="00D752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D752CD"/>
    <w:rPr>
      <w:i/>
      <w:iCs/>
      <w:color w:val="2F5496" w:themeColor="accent1" w:themeShade="BF"/>
      <w:lang w:val="hr-HR"/>
    </w:rPr>
  </w:style>
  <w:style w:type="character" w:styleId="Istaknutareferenca">
    <w:name w:val="Intense Reference"/>
    <w:basedOn w:val="Zadanifontodlomka"/>
    <w:uiPriority w:val="32"/>
    <w:qFormat/>
    <w:rsid w:val="00D752CD"/>
    <w:rPr>
      <w:b/>
      <w:bCs/>
      <w:smallCaps/>
      <w:color w:val="2F5496" w:themeColor="accent1" w:themeShade="BF"/>
      <w:spacing w:val="5"/>
    </w:rPr>
  </w:style>
  <w:style w:type="character" w:styleId="Hiperveza">
    <w:name w:val="Hyperlink"/>
    <w:basedOn w:val="Zadanifontodlomka"/>
    <w:uiPriority w:val="99"/>
    <w:unhideWhenUsed/>
    <w:rsid w:val="00D752CD"/>
    <w:rPr>
      <w:color w:val="0563C1" w:themeColor="hyperlink"/>
      <w:u w:val="single"/>
    </w:rPr>
  </w:style>
  <w:style w:type="character" w:styleId="Nerijeenospominjanje">
    <w:name w:val="Unresolved Mention"/>
    <w:basedOn w:val="Zadanifontodlomka"/>
    <w:uiPriority w:val="99"/>
    <w:semiHidden/>
    <w:unhideWhenUsed/>
    <w:rsid w:val="00D752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a.int/Science_Exploration/Space_Science/The_Sun" TargetMode="External"/><Relationship Id="rId11" Type="http://schemas.openxmlformats.org/officeDocument/2006/relationships/theme" Target="theme/theme1.xml"/><Relationship Id="rId5" Type="http://schemas.microsoft.com/office/2007/relationships/hdphoto" Target="media/hdphoto1.wdp"/><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686</Words>
  <Characters>3914</Characters>
  <Application>Microsoft Office Word</Application>
  <DocSecurity>0</DocSecurity>
  <Lines>32</Lines>
  <Paragraphs>9</Paragraphs>
  <ScaleCrop>false</ScaleCrop>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2025-02-19T22:54:00Z</dcterms:created>
  <dcterms:modified xsi:type="dcterms:W3CDTF">2025-02-19T22:57:00Z</dcterms:modified>
</cp:coreProperties>
</file>